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631" w:rsidRDefault="00760631">
      <w:pPr>
        <w:rPr>
          <w:rFonts w:cs="Courier"/>
        </w:rPr>
        <w:sectPr w:rsidR="00760631">
          <w:headerReference w:type="default" r:id="rId7"/>
          <w:pgSz w:w="12240" w:h="15840"/>
          <w:pgMar w:top="1728" w:right="1296" w:bottom="1296" w:left="1296" w:header="720" w:footer="720" w:gutter="0"/>
          <w:pgNumType w:start="1"/>
          <w:cols w:space="720"/>
          <w:noEndnote/>
        </w:sectPr>
      </w:pPr>
      <w:bookmarkStart w:id="0" w:name="_GoBack"/>
      <w:bookmarkEnd w:id="0"/>
    </w:p>
    <w:p w:rsidR="00760631" w:rsidRDefault="00760631">
      <w:pPr>
        <w:widowControl/>
        <w:rPr>
          <w:rFonts w:ascii="Times New Roman" w:hAnsi="Times New Roman" w:cs="Times New Roman"/>
        </w:rPr>
      </w:pPr>
      <w:bookmarkStart w:id="1" w:name="DOC_ID_0"/>
      <w:bookmarkStart w:id="2" w:name="DOC_ID_0_0"/>
      <w:bookmarkEnd w:id="1"/>
      <w:bookmarkEnd w:id="2"/>
    </w:p>
    <w:p w:rsidR="00760631" w:rsidRDefault="004C6006">
      <w:pPr>
        <w:widowControl/>
        <w:suppressAutoHyphens/>
        <w:jc w:val="center"/>
        <w:rPr>
          <w:rFonts w:ascii="Times New Roman" w:hAnsi="Times New Roman" w:cs="Times New Roman"/>
        </w:rPr>
      </w:pPr>
      <w:r>
        <w:rPr>
          <w:rFonts w:ascii="Times New Roman" w:hAnsi="Times New Roman" w:cs="Times New Roman"/>
        </w:rPr>
        <w:t>1 of 6 DOCUMENTS</w:t>
      </w:r>
    </w:p>
    <w:p w:rsidR="00760631" w:rsidRDefault="00760631">
      <w:pPr>
        <w:widowControl/>
        <w:rPr>
          <w:rFonts w:ascii="Times New Roman" w:hAnsi="Times New Roman" w:cs="Times New Roman"/>
        </w:rPr>
      </w:pP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 xml:space="preserve">The </w:t>
      </w:r>
      <w:r>
        <w:rPr>
          <w:rFonts w:ascii="Times New Roman" w:hAnsi="Times New Roman" w:cs="Times New Roman"/>
          <w:b/>
          <w:bCs/>
          <w:color w:val="CC0033"/>
        </w:rPr>
        <w:t>People</w:t>
      </w:r>
      <w:r>
        <w:rPr>
          <w:rFonts w:ascii="Times New Roman" w:hAnsi="Times New Roman" w:cs="Times New Roman"/>
          <w:b/>
          <w:bCs/>
        </w:rPr>
        <w:t xml:space="preserve"> of the State of New York, Respondent-Appellant, v. </w:t>
      </w:r>
      <w:r>
        <w:rPr>
          <w:rFonts w:ascii="Times New Roman" w:hAnsi="Times New Roman" w:cs="Times New Roman"/>
          <w:b/>
          <w:bCs/>
          <w:color w:val="CC0033"/>
        </w:rPr>
        <w:t>Theodore Johnson,</w:t>
      </w:r>
      <w:r>
        <w:rPr>
          <w:rFonts w:ascii="Times New Roman" w:hAnsi="Times New Roman" w:cs="Times New Roman"/>
          <w:b/>
          <w:bCs/>
        </w:rPr>
        <w:t xml:space="preserve"> Appellant-Respondent.</w:t>
      </w:r>
    </w:p>
    <w:p w:rsidR="00760631" w:rsidRDefault="00760631">
      <w:pPr>
        <w:widowControl/>
        <w:rPr>
          <w:rFonts w:ascii="Times New Roman" w:hAnsi="Times New Roman" w:cs="Times New Roman"/>
          <w:b/>
          <w:bCs/>
        </w:rPr>
      </w:pP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No. 111</w:t>
      </w:r>
    </w:p>
    <w:p w:rsidR="00760631" w:rsidRDefault="00760631">
      <w:pPr>
        <w:widowControl/>
        <w:rPr>
          <w:rFonts w:ascii="Times New Roman" w:hAnsi="Times New Roman" w:cs="Times New Roman"/>
          <w:b/>
          <w:bCs/>
        </w:rPr>
      </w:pP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COURT OF APPEALS OF NEW YORK</w:t>
      </w:r>
    </w:p>
    <w:p w:rsidR="00760631" w:rsidRDefault="00760631">
      <w:pPr>
        <w:widowControl/>
        <w:rPr>
          <w:rFonts w:ascii="Times New Roman" w:hAnsi="Times New Roman" w:cs="Times New Roman"/>
          <w:b/>
          <w:bCs/>
        </w:rPr>
      </w:pP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95 N.Y.2d 368; 740 N.E.2d 1075; 718 N.Y.S.2d 1; 2000 N.Y. LEXIS 2930</w:t>
      </w:r>
    </w:p>
    <w:p w:rsidR="00760631" w:rsidRDefault="00760631">
      <w:pPr>
        <w:widowControl/>
        <w:rPr>
          <w:rFonts w:ascii="Times New Roman" w:hAnsi="Times New Roman" w:cs="Times New Roman"/>
          <w:b/>
          <w:bCs/>
        </w:rPr>
      </w:pP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 xml:space="preserve">September 13, 2000, Argued  </w:t>
      </w:r>
    </w:p>
    <w:p w:rsidR="00760631" w:rsidRDefault="004C6006">
      <w:pPr>
        <w:widowControl/>
        <w:ind w:left="1200" w:right="1200"/>
        <w:jc w:val="center"/>
        <w:rPr>
          <w:rFonts w:ascii="Times New Roman" w:hAnsi="Times New Roman" w:cs="Times New Roman"/>
          <w:b/>
          <w:bCs/>
        </w:rPr>
      </w:pPr>
      <w:r>
        <w:rPr>
          <w:rFonts w:ascii="Times New Roman" w:hAnsi="Times New Roman" w:cs="Times New Roman"/>
          <w:b/>
          <w:bCs/>
        </w:rPr>
        <w:t xml:space="preserve"> October 26, 2000, Decided </w:t>
      </w:r>
    </w:p>
    <w:p w:rsidR="00760631" w:rsidRDefault="00760631">
      <w:pPr>
        <w:widowControl/>
        <w:rPr>
          <w:rFonts w:ascii="Times New Roman" w:hAnsi="Times New Roman" w:cs="Times New Roman"/>
          <w:b/>
          <w:bCs/>
        </w:rPr>
      </w:pPr>
    </w:p>
    <w:p w:rsidR="00760631" w:rsidRDefault="004C6006">
      <w:pPr>
        <w:widowControl/>
        <w:rPr>
          <w:rFonts w:ascii="Times New Roman" w:hAnsi="Times New Roman" w:cs="Times New Roman"/>
        </w:rPr>
      </w:pPr>
      <w:r>
        <w:rPr>
          <w:rFonts w:ascii="Times New Roman" w:hAnsi="Times New Roman" w:cs="Times New Roman"/>
          <w:b/>
          <w:bCs/>
        </w:rPr>
        <w:t xml:space="preserve">PRIOR HISTORY: </w:t>
      </w:r>
      <w:r>
        <w:rPr>
          <w:rFonts w:ascii="Times New Roman" w:hAnsi="Times New Roman" w:cs="Times New Roman"/>
        </w:rPr>
        <w:t xml:space="preserve"> Cross appeals, by permission of the Chief Judge of the Court of Appeals, from an order of the Appellate Division of the Supreme Court in the Second Judicial Department, entered May 17, 1999, which modified, on the law, and, as modified, affirmed a judgment of the Supreme Court (William M. Erlbaum, J.), rendered after a nonjury trial, convicting defendant of intimidating a victim or witness in the third degree, criminal contempt in the first degree (five counts), endangering the welfare of a child (two counts), and menacing in the second degree.  The modification consisted of reversing the convictions of endangering the welfare of a child, vacating the sentences imposed thereon, and dismissing those counts of the indictment. </w:t>
      </w:r>
    </w:p>
    <w:p w:rsidR="00760631" w:rsidRDefault="004C6006">
      <w:pPr>
        <w:widowControl/>
        <w:spacing w:before="120"/>
        <w:rPr>
          <w:rFonts w:ascii="Times New Roman" w:hAnsi="Times New Roman" w:cs="Times New Roman"/>
        </w:rPr>
      </w:pPr>
      <w:r>
        <w:rPr>
          <w:rFonts w:ascii="Times New Roman" w:hAnsi="Times New Roman" w:cs="Times New Roman"/>
        </w:rPr>
        <w:t xml:space="preserve">People v Johnson, 261 AD2d 557, modified.  </w:t>
      </w:r>
    </w:p>
    <w:p w:rsidR="00760631" w:rsidRDefault="00760631">
      <w:pPr>
        <w:widowControl/>
        <w:rPr>
          <w:rFonts w:ascii="Times New Roman" w:hAnsi="Times New Roman" w:cs="Times New Roman"/>
        </w:rPr>
      </w:pP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DISPOSITION:</w:t>
      </w:r>
      <w:r>
        <w:rPr>
          <w:rFonts w:ascii="Times New Roman" w:hAnsi="Times New Roman" w:cs="Times New Roman"/>
        </w:rPr>
        <w:t xml:space="preserve"> Order modified in accordance with the opinion herein and case remitted to the Appellate Division, Second Department, for consideration of the facts ( CPL 470.25[2][d], 470.40[2][b]) and, as so modified, affirmed.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CASE SUMMARY:</w:t>
      </w:r>
    </w:p>
    <w:p w:rsidR="00760631" w:rsidRDefault="00760631">
      <w:pPr>
        <w:widowControl/>
        <w:rPr>
          <w:rFonts w:ascii="Times New Roman" w:hAnsi="Times New Roman" w:cs="Times New Roman"/>
        </w:rPr>
      </w:pP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highlight w:val="lightGray"/>
        </w:rPr>
        <w:t xml:space="preserve">PROCEDURAL POSTURE: </w:t>
      </w:r>
      <w:r>
        <w:rPr>
          <w:rFonts w:ascii="Times New Roman" w:hAnsi="Times New Roman" w:cs="Times New Roman"/>
          <w:highlight w:val="lightGray"/>
        </w:rPr>
        <w:t>Plaintiff State challenged the decision of the Appellate Division of the Supreme Court (New York), which reversed defendant's convictions for two counts of endangering the welfare of a child under N.Y. Penal Law § 260.10(1).</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highlight w:val="lightGray"/>
        </w:rPr>
        <w:t xml:space="preserve">OVERVIEW: </w:t>
      </w:r>
      <w:r>
        <w:rPr>
          <w:rFonts w:ascii="Times New Roman" w:hAnsi="Times New Roman" w:cs="Times New Roman"/>
          <w:highlight w:val="lightGray"/>
        </w:rPr>
        <w:t>Defendant violently attacked his ex-girlfriend in front of her three daughters. Defendant continued his attack and violent behavior in the victim's apartment for over 10 hours, with the children trapped in their room during the incident. Defendant was convicted of two counts of endangering the welfare of a child, under N.Y. Penal Law § 260.10(1), and several other felonies. The appellate court reversed defendant's child endangerment convictions, holding the evidence was legally insufficient. On appeal, plaintiff State argued that the statute was written broadly enough to cover conduct directed at others that was likely to cause harm to children. Nothing in N.Y. Penal Law § 260.10(1) restricted its appl</w:t>
      </w:r>
      <w:r>
        <w:rPr>
          <w:rFonts w:ascii="Times New Roman" w:hAnsi="Times New Roman" w:cs="Times New Roman"/>
          <w:highlight w:val="lightGray"/>
        </w:rPr>
        <w:t>i</w:t>
      </w:r>
      <w:r>
        <w:rPr>
          <w:rFonts w:ascii="Times New Roman" w:hAnsi="Times New Roman" w:cs="Times New Roman"/>
          <w:highlight w:val="lightGray"/>
        </w:rPr>
        <w:t>cation solely to harmful conduct directed at children. The statute was broadly written and imposed criminal sanctions for the mere likelihood of harm. Defendant's conduct created a likelihood of harm to the children. The children saw defendant strike their mother, and then threaten to kill their mother. For over 10 hours they hid in their bedroom, listening to d</w:t>
      </w:r>
      <w:r>
        <w:rPr>
          <w:rFonts w:ascii="Times New Roman" w:hAnsi="Times New Roman" w:cs="Times New Roman"/>
          <w:highlight w:val="lightGray"/>
        </w:rPr>
        <w:t>e</w:t>
      </w:r>
      <w:r>
        <w:rPr>
          <w:rFonts w:ascii="Times New Roman" w:hAnsi="Times New Roman" w:cs="Times New Roman"/>
          <w:highlight w:val="lightGray"/>
        </w:rPr>
        <w:t>fendant's yelling, their mother's screams and the sounds of breaking glass.</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highlight w:val="lightGray"/>
        </w:rPr>
        <w:t xml:space="preserve">OUTCOME: </w:t>
      </w:r>
      <w:r>
        <w:rPr>
          <w:rFonts w:ascii="Times New Roman" w:hAnsi="Times New Roman" w:cs="Times New Roman"/>
          <w:highlight w:val="lightGray"/>
        </w:rPr>
        <w:t>The court ordered the lower court opinion modified in accordance with its opinion and the case remitted for consideration of the facts, and as so modified, affirmed. Endangering the welfare of a child statute was written broadly to impose criminal sanctions for the mere likelihood of harm, and defendant's behavior created a likelihood of harm to the children.</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 xml:space="preserve">CORE TERMS: </w:t>
      </w:r>
      <w:r>
        <w:rPr>
          <w:rFonts w:ascii="Times New Roman" w:hAnsi="Times New Roman" w:cs="Times New Roman"/>
        </w:rPr>
        <w:t xml:space="preserve">endangering, domestic violence, modified, glass, apartment, knowingly, breaking, violence, bedroom, yelling, cursing, felony, criminal liability, lv denied, psychological, screams, parenting, child need, likely to cause, likely </w:t>
      </w:r>
      <w:r>
        <w:rPr>
          <w:rFonts w:ascii="Times New Roman" w:hAnsi="Times New Roman" w:cs="Times New Roman"/>
        </w:rPr>
        <w:lastRenderedPageBreak/>
        <w:t>to result, criminal sanction, rational trier of fact, immediate presence, threatened to kill, case remitted, overwhelming, convicted, favorable, whereupon, listening</w:t>
      </w:r>
    </w:p>
    <w:p w:rsidR="00760631" w:rsidRDefault="00760631">
      <w:pPr>
        <w:widowControl/>
        <w:rPr>
          <w:rFonts w:ascii="Times New Roman" w:hAnsi="Times New Roman" w:cs="Times New Roman"/>
        </w:rPr>
      </w:pPr>
    </w:p>
    <w:p w:rsidR="00760631" w:rsidRDefault="004C6006">
      <w:pPr>
        <w:widowControl/>
        <w:jc w:val="center"/>
        <w:rPr>
          <w:rFonts w:ascii="Times New Roman" w:hAnsi="Times New Roman" w:cs="Times New Roman"/>
          <w:b/>
          <w:bCs/>
        </w:rPr>
      </w:pPr>
      <w:r>
        <w:rPr>
          <w:rFonts w:ascii="Times New Roman" w:hAnsi="Times New Roman" w:cs="Times New Roman"/>
          <w:b/>
          <w:bCs/>
        </w:rPr>
        <w:t>LexisNexis(R) Headnotes</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i/>
          <w:iCs/>
        </w:rPr>
        <w:t>Criminal Law &amp; Procedure &gt; Criminal Offenses &gt; Crimes Against Persons &gt; Domestic Offenses &gt; General Overview</w:t>
      </w:r>
    </w:p>
    <w:p w:rsidR="00760631" w:rsidRDefault="004C6006">
      <w:pPr>
        <w:widowControl/>
        <w:rPr>
          <w:rFonts w:ascii="Times New Roman" w:hAnsi="Times New Roman" w:cs="Times New Roman"/>
        </w:rPr>
      </w:pPr>
      <w:r>
        <w:rPr>
          <w:rFonts w:ascii="Times New Roman" w:hAnsi="Times New Roman" w:cs="Times New Roman"/>
        </w:rPr>
        <w:t>[HN1] N.Y. Penal Law § 260.10(1) provides that a person endangers the welfare of a child when he knowingly acts in a manner likely to be injurious to the physical, mental, or moral welfare of a child less than 17 years old. Actual harm to the child need not result for criminal liability; it is sufficient that the defendant act in a manner which is likely to result in harm to the child, knowing of the likelihood of such harm coming to the child.</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i/>
          <w:iCs/>
        </w:rPr>
        <w:t>Criminal Law &amp; Procedure &gt; Criminal Offenses &gt; Crimes Against Persons &gt; Domestic Offenses &gt; General Overview</w:t>
      </w:r>
    </w:p>
    <w:p w:rsidR="00760631" w:rsidRDefault="004C6006">
      <w:pPr>
        <w:widowControl/>
        <w:rPr>
          <w:rFonts w:ascii="Times New Roman" w:hAnsi="Times New Roman" w:cs="Times New Roman"/>
        </w:rPr>
      </w:pPr>
      <w:r>
        <w:rPr>
          <w:rFonts w:ascii="Times New Roman" w:hAnsi="Times New Roman" w:cs="Times New Roman"/>
        </w:rPr>
        <w:t>[HN2] When a statute imposes criminal liability for knowingly disregarding a risk, it does not require a particular outcome or actions aimed at a specific individual; the crime is solely defined by the risk of injury produced by defendant's conduct.</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 xml:space="preserve">HEADNOTES </w:t>
      </w:r>
    </w:p>
    <w:p w:rsidR="00760631" w:rsidRDefault="004C6006">
      <w:pPr>
        <w:widowControl/>
        <w:spacing w:before="120"/>
        <w:rPr>
          <w:rFonts w:ascii="Times New Roman" w:hAnsi="Times New Roman" w:cs="Times New Roman"/>
        </w:rPr>
      </w:pPr>
      <w:r>
        <w:rPr>
          <w:rFonts w:ascii="Times New Roman" w:hAnsi="Times New Roman" w:cs="Times New Roman"/>
        </w:rPr>
        <w:t xml:space="preserve">Crimes - Endangering Welfare of Child - Defendant's Actions Not Specifically Directed at Child </w:t>
      </w:r>
    </w:p>
    <w:p w:rsidR="00760631" w:rsidRDefault="004C6006">
      <w:pPr>
        <w:widowControl/>
        <w:spacing w:before="120"/>
        <w:rPr>
          <w:rFonts w:ascii="Times New Roman" w:hAnsi="Times New Roman" w:cs="Times New Roman"/>
        </w:rPr>
      </w:pPr>
      <w:r>
        <w:rPr>
          <w:rFonts w:ascii="Times New Roman" w:hAnsi="Times New Roman" w:cs="Times New Roman"/>
        </w:rPr>
        <w:t xml:space="preserve"> A person may be convicted for endangering the welfare of a child under Penal Law § 260.10 when that person's actions are not specifically directed at a child, since the statute is written broadly enough to cover conduct directed at others that is likely to cause harm to a child.  Actual harm to the child need not result for criminal liability: it is sufficient that the defendant act in a manner which is likely to result in harm to the child, knowing of the likelihood of such harm.  Nothing in the statute restricts its application solely to harmful conduct directed at children.  The statute imposes a criminal sanction for the mere "likelihood" of harm.  Moreover, the language provides that defendant "knowingly" act in such a manner, further suggesting that the statute does not require that the conduct be specifically directed at a child (</w:t>
      </w:r>
      <w:r>
        <w:rPr>
          <w:rFonts w:ascii="Times New Roman" w:hAnsi="Times New Roman" w:cs="Times New Roman"/>
          <w:i/>
          <w:iCs/>
        </w:rPr>
        <w:t>see,</w:t>
      </w:r>
      <w:r>
        <w:rPr>
          <w:rFonts w:ascii="Times New Roman" w:hAnsi="Times New Roman" w:cs="Times New Roman"/>
        </w:rPr>
        <w:t xml:space="preserve"> Penal Law § 15.05 [2]).  Viewing all the evidence and the inferences which may be drawn in the light most favorable to the People, a rational trier of fact could have reasonably determined that defendant's conduct created a likelihood of harm to the children of which he was aware.  The children saw defendant approach their mother and strike her down in the street, whereupon they immediately started crying; in their immediate presence, the defendant then threatened to kill their mother, and for over 10 hours they hid in their bedroom, listening to defendant's yelling and cursing, their mother's screams, and the sounds of breaking glass.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 xml:space="preserve">COUNSEL: </w:t>
      </w:r>
      <w:r>
        <w:rPr>
          <w:rFonts w:ascii="Times New Roman" w:hAnsi="Times New Roman" w:cs="Times New Roman"/>
          <w:i/>
          <w:iCs/>
        </w:rPr>
        <w:t>Rachel Alstein,</w:t>
      </w:r>
      <w:r>
        <w:rPr>
          <w:rFonts w:ascii="Times New Roman" w:hAnsi="Times New Roman" w:cs="Times New Roman"/>
        </w:rPr>
        <w:t xml:space="preserve"> New York City, and </w:t>
      </w:r>
      <w:r>
        <w:rPr>
          <w:rFonts w:ascii="Times New Roman" w:hAnsi="Times New Roman" w:cs="Times New Roman"/>
          <w:i/>
          <w:iCs/>
        </w:rPr>
        <w:t>Lynn W. L. Fahey</w:t>
      </w:r>
      <w:r>
        <w:rPr>
          <w:rFonts w:ascii="Times New Roman" w:hAnsi="Times New Roman" w:cs="Times New Roman"/>
        </w:rPr>
        <w:t xml:space="preserve"> for appellant-respondent.  I. Evidence that appellant had a fight with his girlfriend in front of her two daughters was legally insufficient to support the charge of endangering the welfare of the children.  (</w:t>
      </w:r>
      <w:r>
        <w:rPr>
          <w:rFonts w:ascii="Times New Roman" w:hAnsi="Times New Roman" w:cs="Times New Roman"/>
          <w:i/>
          <w:iCs/>
        </w:rPr>
        <w:t>People v James E. M.,</w:t>
      </w:r>
      <w:r>
        <w:rPr>
          <w:rFonts w:ascii="Times New Roman" w:hAnsi="Times New Roman" w:cs="Times New Roman"/>
        </w:rPr>
        <w:t xml:space="preserve"> 245 AD2d 1110; </w:t>
      </w:r>
      <w:r>
        <w:rPr>
          <w:rFonts w:ascii="Times New Roman" w:hAnsi="Times New Roman" w:cs="Times New Roman"/>
          <w:i/>
          <w:iCs/>
        </w:rPr>
        <w:t>People v Melfa,</w:t>
      </w:r>
      <w:r>
        <w:rPr>
          <w:rFonts w:ascii="Times New Roman" w:hAnsi="Times New Roman" w:cs="Times New Roman"/>
        </w:rPr>
        <w:t xml:space="preserve"> 244 AD2d 857; </w:t>
      </w:r>
      <w:r>
        <w:rPr>
          <w:rFonts w:ascii="Times New Roman" w:hAnsi="Times New Roman" w:cs="Times New Roman"/>
          <w:i/>
          <w:iCs/>
        </w:rPr>
        <w:t>People v Egan,</w:t>
      </w:r>
      <w:r>
        <w:rPr>
          <w:rFonts w:ascii="Times New Roman" w:hAnsi="Times New Roman" w:cs="Times New Roman"/>
        </w:rPr>
        <w:t xml:space="preserve"> 103 AD2d 940; </w:t>
      </w:r>
      <w:r>
        <w:rPr>
          <w:rFonts w:ascii="Times New Roman" w:hAnsi="Times New Roman" w:cs="Times New Roman"/>
          <w:i/>
          <w:iCs/>
        </w:rPr>
        <w:t>People v Suarez,</w:t>
      </w:r>
      <w:r>
        <w:rPr>
          <w:rFonts w:ascii="Times New Roman" w:hAnsi="Times New Roman" w:cs="Times New Roman"/>
        </w:rPr>
        <w:t xml:space="preserve"> 133 Misc 2d 762; </w:t>
      </w:r>
      <w:r>
        <w:rPr>
          <w:rFonts w:ascii="Times New Roman" w:hAnsi="Times New Roman" w:cs="Times New Roman"/>
          <w:i/>
          <w:iCs/>
        </w:rPr>
        <w:t>People v Fogler,</w:t>
      </w:r>
      <w:r>
        <w:rPr>
          <w:rFonts w:ascii="Times New Roman" w:hAnsi="Times New Roman" w:cs="Times New Roman"/>
        </w:rPr>
        <w:t xml:space="preserve"> 184 AD2d 270; </w:t>
      </w:r>
      <w:r>
        <w:rPr>
          <w:rFonts w:ascii="Times New Roman" w:hAnsi="Times New Roman" w:cs="Times New Roman"/>
          <w:i/>
          <w:iCs/>
        </w:rPr>
        <w:t>People v Ross,</w:t>
      </w:r>
      <w:r>
        <w:rPr>
          <w:rFonts w:ascii="Times New Roman" w:hAnsi="Times New Roman" w:cs="Times New Roman"/>
        </w:rPr>
        <w:t xml:space="preserve"> 117 AD2d 684; </w:t>
      </w:r>
      <w:r>
        <w:rPr>
          <w:rFonts w:ascii="Times New Roman" w:hAnsi="Times New Roman" w:cs="Times New Roman"/>
          <w:i/>
          <w:iCs/>
        </w:rPr>
        <w:t>People v McCaskill,</w:t>
      </w:r>
      <w:r>
        <w:rPr>
          <w:rFonts w:ascii="Times New Roman" w:hAnsi="Times New Roman" w:cs="Times New Roman"/>
        </w:rPr>
        <w:t xml:space="preserve"> 117 AD2d 757; </w:t>
      </w:r>
      <w:r>
        <w:rPr>
          <w:rFonts w:ascii="Times New Roman" w:hAnsi="Times New Roman" w:cs="Times New Roman"/>
          <w:i/>
          <w:iCs/>
        </w:rPr>
        <w:t>People v Rice,</w:t>
      </w:r>
      <w:r>
        <w:rPr>
          <w:rFonts w:ascii="Times New Roman" w:hAnsi="Times New Roman" w:cs="Times New Roman"/>
        </w:rPr>
        <w:t xml:space="preserve"> 17 NY2d 881; </w:t>
      </w:r>
      <w:r>
        <w:rPr>
          <w:rFonts w:ascii="Times New Roman" w:hAnsi="Times New Roman" w:cs="Times New Roman"/>
          <w:i/>
          <w:iCs/>
        </w:rPr>
        <w:t>People v Ahlers,</w:t>
      </w:r>
      <w:r>
        <w:rPr>
          <w:rFonts w:ascii="Times New Roman" w:hAnsi="Times New Roman" w:cs="Times New Roman"/>
        </w:rPr>
        <w:t xml:space="preserve"> 98 AD2d 821; </w:t>
      </w:r>
      <w:r>
        <w:rPr>
          <w:rFonts w:ascii="Times New Roman" w:hAnsi="Times New Roman" w:cs="Times New Roman"/>
          <w:i/>
          <w:iCs/>
        </w:rPr>
        <w:t>People v Simmons,</w:t>
      </w:r>
      <w:r>
        <w:rPr>
          <w:rFonts w:ascii="Times New Roman" w:hAnsi="Times New Roman" w:cs="Times New Roman"/>
        </w:rPr>
        <w:t xml:space="preserve"> 92 NY2d 829.) II. Appellant's challenge to his adjudication as a predicate offender is preserved because defense counsel argued that the North Carolina conviction did not correspond to a felony in New York and flagged the two factors on which the predicate sentencing analysis turned; he was not required to educate the court on the basic rules of predicate sentencing.  (</w:t>
      </w:r>
      <w:r>
        <w:rPr>
          <w:rFonts w:ascii="Times New Roman" w:hAnsi="Times New Roman" w:cs="Times New Roman"/>
          <w:i/>
          <w:iCs/>
        </w:rPr>
        <w:t>People v Gray,</w:t>
      </w:r>
      <w:r>
        <w:rPr>
          <w:rFonts w:ascii="Times New Roman" w:hAnsi="Times New Roman" w:cs="Times New Roman"/>
        </w:rPr>
        <w:t xml:space="preserve"> 86 NY2d 10.)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i/>
          <w:iCs/>
        </w:rPr>
        <w:t>Richard A. Brown, District Attorney</w:t>
      </w:r>
      <w:r>
        <w:rPr>
          <w:rFonts w:ascii="Times New Roman" w:hAnsi="Times New Roman" w:cs="Times New Roman"/>
        </w:rPr>
        <w:t xml:space="preserve"> of Queens County, Kew Gardens (</w:t>
      </w:r>
      <w:r>
        <w:rPr>
          <w:rFonts w:ascii="Times New Roman" w:hAnsi="Times New Roman" w:cs="Times New Roman"/>
          <w:i/>
          <w:iCs/>
        </w:rPr>
        <w:t>John M. Castellano</w:t>
      </w:r>
      <w:r>
        <w:rPr>
          <w:rFonts w:ascii="Times New Roman" w:hAnsi="Times New Roman" w:cs="Times New Roman"/>
        </w:rPr>
        <w:t xml:space="preserve"> and </w:t>
      </w:r>
      <w:r>
        <w:rPr>
          <w:rFonts w:ascii="Times New Roman" w:hAnsi="Times New Roman" w:cs="Times New Roman"/>
          <w:i/>
          <w:iCs/>
        </w:rPr>
        <w:t>Gary Fidel</w:t>
      </w:r>
      <w:r>
        <w:rPr>
          <w:rFonts w:ascii="Times New Roman" w:hAnsi="Times New Roman" w:cs="Times New Roman"/>
        </w:rPr>
        <w:t xml:space="preserve"> of counsel), for respondent-appellant.  I. Evidence that defendant physically abused his ex-girlfriend over the course of a 10-hour period, during which the children saw and heard the abuse, was legally sufficient to support the charge of endangering the welfare of a child.  (</w:t>
      </w:r>
      <w:r>
        <w:rPr>
          <w:rFonts w:ascii="Times New Roman" w:hAnsi="Times New Roman" w:cs="Times New Roman"/>
          <w:i/>
          <w:iCs/>
        </w:rPr>
        <w:t>People v Carr,</w:t>
      </w:r>
      <w:r>
        <w:rPr>
          <w:rFonts w:ascii="Times New Roman" w:hAnsi="Times New Roman" w:cs="Times New Roman"/>
        </w:rPr>
        <w:t xml:space="preserve"> 208 AD2d 855; </w:t>
      </w:r>
      <w:r>
        <w:rPr>
          <w:rFonts w:ascii="Times New Roman" w:hAnsi="Times New Roman" w:cs="Times New Roman"/>
          <w:i/>
          <w:iCs/>
        </w:rPr>
        <w:t>People v Bergerson,</w:t>
      </w:r>
      <w:r>
        <w:rPr>
          <w:rFonts w:ascii="Times New Roman" w:hAnsi="Times New Roman" w:cs="Times New Roman"/>
        </w:rPr>
        <w:t xml:space="preserve"> 17 NY2d 398; </w:t>
      </w:r>
      <w:r>
        <w:rPr>
          <w:rFonts w:ascii="Times New Roman" w:hAnsi="Times New Roman" w:cs="Times New Roman"/>
          <w:i/>
          <w:iCs/>
        </w:rPr>
        <w:t>People v Simmons,</w:t>
      </w:r>
      <w:r>
        <w:rPr>
          <w:rFonts w:ascii="Times New Roman" w:hAnsi="Times New Roman" w:cs="Times New Roman"/>
        </w:rPr>
        <w:t xml:space="preserve"> 92 NY2d 829; </w:t>
      </w:r>
      <w:r>
        <w:rPr>
          <w:rFonts w:ascii="Times New Roman" w:hAnsi="Times New Roman" w:cs="Times New Roman"/>
          <w:i/>
          <w:iCs/>
        </w:rPr>
        <w:t>People v Aiss,</w:t>
      </w:r>
      <w:r>
        <w:rPr>
          <w:rFonts w:ascii="Times New Roman" w:hAnsi="Times New Roman" w:cs="Times New Roman"/>
        </w:rPr>
        <w:t xml:space="preserve"> 29 NY2d 403; </w:t>
      </w:r>
      <w:r>
        <w:rPr>
          <w:rFonts w:ascii="Times New Roman" w:hAnsi="Times New Roman" w:cs="Times New Roman"/>
          <w:i/>
          <w:iCs/>
        </w:rPr>
        <w:t>People v Rice,</w:t>
      </w:r>
      <w:r>
        <w:rPr>
          <w:rFonts w:ascii="Times New Roman" w:hAnsi="Times New Roman" w:cs="Times New Roman"/>
        </w:rPr>
        <w:t xml:space="preserve"> 17 NY2d 881; </w:t>
      </w:r>
      <w:r>
        <w:rPr>
          <w:rFonts w:ascii="Times New Roman" w:hAnsi="Times New Roman" w:cs="Times New Roman"/>
          <w:i/>
          <w:iCs/>
        </w:rPr>
        <w:t>People v Williams,</w:t>
      </w:r>
      <w:r>
        <w:rPr>
          <w:rFonts w:ascii="Times New Roman" w:hAnsi="Times New Roman" w:cs="Times New Roman"/>
        </w:rPr>
        <w:t xml:space="preserve"> 79 NY2d 281; </w:t>
      </w:r>
      <w:r>
        <w:rPr>
          <w:rFonts w:ascii="Times New Roman" w:hAnsi="Times New Roman" w:cs="Times New Roman"/>
          <w:i/>
          <w:iCs/>
        </w:rPr>
        <w:t>People v Floyd J.,</w:t>
      </w:r>
      <w:r>
        <w:rPr>
          <w:rFonts w:ascii="Times New Roman" w:hAnsi="Times New Roman" w:cs="Times New Roman"/>
        </w:rPr>
        <w:t xml:space="preserve"> 61 NY2d 895; </w:t>
      </w:r>
      <w:r>
        <w:rPr>
          <w:rFonts w:ascii="Times New Roman" w:hAnsi="Times New Roman" w:cs="Times New Roman"/>
          <w:i/>
          <w:iCs/>
        </w:rPr>
        <w:t>People v Carroll,</w:t>
      </w:r>
      <w:r>
        <w:rPr>
          <w:rFonts w:ascii="Times New Roman" w:hAnsi="Times New Roman" w:cs="Times New Roman"/>
        </w:rPr>
        <w:t xml:space="preserve"> 93 NY2d 564; </w:t>
      </w:r>
      <w:r>
        <w:rPr>
          <w:rFonts w:ascii="Times New Roman" w:hAnsi="Times New Roman" w:cs="Times New Roman"/>
          <w:i/>
          <w:iCs/>
        </w:rPr>
        <w:t>People v Jacobsen,</w:t>
      </w:r>
      <w:r>
        <w:rPr>
          <w:rFonts w:ascii="Times New Roman" w:hAnsi="Times New Roman" w:cs="Times New Roman"/>
        </w:rPr>
        <w:t xml:space="preserve"> 255 AD2d 951; </w:t>
      </w:r>
      <w:r>
        <w:rPr>
          <w:rFonts w:ascii="Times New Roman" w:hAnsi="Times New Roman" w:cs="Times New Roman"/>
          <w:i/>
          <w:iCs/>
        </w:rPr>
        <w:t>People v Lourido,</w:t>
      </w:r>
      <w:r>
        <w:rPr>
          <w:rFonts w:ascii="Times New Roman" w:hAnsi="Times New Roman" w:cs="Times New Roman"/>
        </w:rPr>
        <w:t xml:space="preserve"> 70 NY2d 428.) II. The a</w:t>
      </w:r>
      <w:r>
        <w:rPr>
          <w:rFonts w:ascii="Times New Roman" w:hAnsi="Times New Roman" w:cs="Times New Roman"/>
        </w:rPr>
        <w:t>s</w:t>
      </w:r>
      <w:r>
        <w:rPr>
          <w:rFonts w:ascii="Times New Roman" w:hAnsi="Times New Roman" w:cs="Times New Roman"/>
        </w:rPr>
        <w:t>serted differences between North Carolina and New York law, which allegedly render defendant's North Carolina co</w:t>
      </w:r>
      <w:r>
        <w:rPr>
          <w:rFonts w:ascii="Times New Roman" w:hAnsi="Times New Roman" w:cs="Times New Roman"/>
        </w:rPr>
        <w:t>n</w:t>
      </w:r>
      <w:r>
        <w:rPr>
          <w:rFonts w:ascii="Times New Roman" w:hAnsi="Times New Roman" w:cs="Times New Roman"/>
        </w:rPr>
        <w:t>viction without a New York equivalent and preclude its use as a predicate felony in New York, were never properly presented to the trial court, and they are thus unpreserved for this Court's review.  (</w:t>
      </w:r>
      <w:r>
        <w:rPr>
          <w:rFonts w:ascii="Times New Roman" w:hAnsi="Times New Roman" w:cs="Times New Roman"/>
          <w:i/>
          <w:iCs/>
        </w:rPr>
        <w:t>People v Michael,</w:t>
      </w:r>
      <w:r>
        <w:rPr>
          <w:rFonts w:ascii="Times New Roman" w:hAnsi="Times New Roman" w:cs="Times New Roman"/>
        </w:rPr>
        <w:t xml:space="preserve"> 48 NY2d 1; </w:t>
      </w:r>
      <w:r>
        <w:rPr>
          <w:rFonts w:ascii="Times New Roman" w:hAnsi="Times New Roman" w:cs="Times New Roman"/>
          <w:i/>
          <w:iCs/>
        </w:rPr>
        <w:t>People v Gray,</w:t>
      </w:r>
      <w:r>
        <w:rPr>
          <w:rFonts w:ascii="Times New Roman" w:hAnsi="Times New Roman" w:cs="Times New Roman"/>
        </w:rPr>
        <w:t xml:space="preserve"> 86 NY2d 10; </w:t>
      </w:r>
      <w:r>
        <w:rPr>
          <w:rFonts w:ascii="Times New Roman" w:hAnsi="Times New Roman" w:cs="Times New Roman"/>
          <w:i/>
          <w:iCs/>
        </w:rPr>
        <w:t>People v Jackson,</w:t>
      </w:r>
      <w:r>
        <w:rPr>
          <w:rFonts w:ascii="Times New Roman" w:hAnsi="Times New Roman" w:cs="Times New Roman"/>
        </w:rPr>
        <w:t xml:space="preserve"> 196 NY 357; </w:t>
      </w:r>
      <w:r>
        <w:rPr>
          <w:rFonts w:ascii="Times New Roman" w:hAnsi="Times New Roman" w:cs="Times New Roman"/>
          <w:i/>
          <w:iCs/>
        </w:rPr>
        <w:t>People v Tevaha,</w:t>
      </w:r>
      <w:r>
        <w:rPr>
          <w:rFonts w:ascii="Times New Roman" w:hAnsi="Times New Roman" w:cs="Times New Roman"/>
        </w:rPr>
        <w:t xml:space="preserve"> 84 NY2d 879;  </w:t>
      </w:r>
      <w:r>
        <w:rPr>
          <w:rFonts w:ascii="Times New Roman" w:hAnsi="Times New Roman" w:cs="Times New Roman"/>
          <w:i/>
          <w:iCs/>
        </w:rPr>
        <w:t>People v Luperon,</w:t>
      </w:r>
      <w:r>
        <w:rPr>
          <w:rFonts w:ascii="Times New Roman" w:hAnsi="Times New Roman" w:cs="Times New Roman"/>
        </w:rPr>
        <w:t xml:space="preserve"> 85 NY2d 71; </w:t>
      </w:r>
      <w:r>
        <w:rPr>
          <w:rFonts w:ascii="Times New Roman" w:hAnsi="Times New Roman" w:cs="Times New Roman"/>
          <w:i/>
          <w:iCs/>
        </w:rPr>
        <w:t>People v Garcia,</w:t>
      </w:r>
      <w:r>
        <w:rPr>
          <w:rFonts w:ascii="Times New Roman" w:hAnsi="Times New Roman" w:cs="Times New Roman"/>
        </w:rPr>
        <w:t xml:space="preserve"> 83 NY2d 817; </w:t>
      </w:r>
      <w:r>
        <w:rPr>
          <w:rFonts w:ascii="Times New Roman" w:hAnsi="Times New Roman" w:cs="Times New Roman"/>
          <w:i/>
          <w:iCs/>
        </w:rPr>
        <w:t>People v Johnson,</w:t>
      </w:r>
      <w:r>
        <w:rPr>
          <w:rFonts w:ascii="Times New Roman" w:hAnsi="Times New Roman" w:cs="Times New Roman"/>
        </w:rPr>
        <w:t xml:space="preserve"> 92 NY2d 976; </w:t>
      </w:r>
      <w:r>
        <w:rPr>
          <w:rFonts w:ascii="Times New Roman" w:hAnsi="Times New Roman" w:cs="Times New Roman"/>
          <w:i/>
          <w:iCs/>
        </w:rPr>
        <w:t>People v Bond,</w:t>
      </w:r>
      <w:r>
        <w:rPr>
          <w:rFonts w:ascii="Times New Roman" w:hAnsi="Times New Roman" w:cs="Times New Roman"/>
        </w:rPr>
        <w:t xml:space="preserve"> 90 NY2d 877; </w:t>
      </w:r>
      <w:r>
        <w:rPr>
          <w:rFonts w:ascii="Times New Roman" w:hAnsi="Times New Roman" w:cs="Times New Roman"/>
          <w:i/>
          <w:iCs/>
        </w:rPr>
        <w:t>People v Proctor,</w:t>
      </w:r>
      <w:r>
        <w:rPr>
          <w:rFonts w:ascii="Times New Roman" w:hAnsi="Times New Roman" w:cs="Times New Roman"/>
        </w:rPr>
        <w:t xml:space="preserve"> 79 NY2d 992; </w:t>
      </w:r>
      <w:r>
        <w:rPr>
          <w:rFonts w:ascii="Times New Roman" w:hAnsi="Times New Roman" w:cs="Times New Roman"/>
          <w:i/>
          <w:iCs/>
        </w:rPr>
        <w:t>People v Pellegrino,</w:t>
      </w:r>
      <w:r>
        <w:rPr>
          <w:rFonts w:ascii="Times New Roman" w:hAnsi="Times New Roman" w:cs="Times New Roman"/>
        </w:rPr>
        <w:t xml:space="preserve"> 60 NY2d 636.)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i/>
          <w:iCs/>
        </w:rPr>
        <w:lastRenderedPageBreak/>
        <w:t>Rebecca J. Fialk,</w:t>
      </w:r>
      <w:r>
        <w:rPr>
          <w:rFonts w:ascii="Times New Roman" w:hAnsi="Times New Roman" w:cs="Times New Roman"/>
        </w:rPr>
        <w:t xml:space="preserve"> White Plains, </w:t>
      </w:r>
      <w:r>
        <w:rPr>
          <w:rFonts w:ascii="Times New Roman" w:hAnsi="Times New Roman" w:cs="Times New Roman"/>
          <w:i/>
          <w:iCs/>
        </w:rPr>
        <w:t>Audrey E. Stone, Victoria L. Lutz</w:t>
      </w:r>
      <w:r>
        <w:rPr>
          <w:rFonts w:ascii="Times New Roman" w:hAnsi="Times New Roman" w:cs="Times New Roman"/>
        </w:rPr>
        <w:t xml:space="preserve"> and </w:t>
      </w:r>
      <w:r>
        <w:rPr>
          <w:rFonts w:ascii="Times New Roman" w:hAnsi="Times New Roman" w:cs="Times New Roman"/>
          <w:i/>
          <w:iCs/>
        </w:rPr>
        <w:t>Jennifer Brown</w:t>
      </w:r>
      <w:r>
        <w:rPr>
          <w:rFonts w:ascii="Times New Roman" w:hAnsi="Times New Roman" w:cs="Times New Roman"/>
        </w:rPr>
        <w:t xml:space="preserve"> for Pace Women's Justice Center, </w:t>
      </w:r>
      <w:r>
        <w:rPr>
          <w:rFonts w:ascii="Times New Roman" w:hAnsi="Times New Roman" w:cs="Times New Roman"/>
          <w:i/>
          <w:iCs/>
        </w:rPr>
        <w:t>amicus curiae.</w:t>
      </w:r>
      <w:r>
        <w:rPr>
          <w:rFonts w:ascii="Times New Roman" w:hAnsi="Times New Roman" w:cs="Times New Roman"/>
        </w:rPr>
        <w:t xml:space="preserve"> Evidence was clearly sufficient to support endangerment charge where children were present and observed defendant's violent assault on their mother, and where children subsequently were constructively held hostage in an a</w:t>
      </w:r>
      <w:r>
        <w:rPr>
          <w:rFonts w:ascii="Times New Roman" w:hAnsi="Times New Roman" w:cs="Times New Roman"/>
        </w:rPr>
        <w:t>d</w:t>
      </w:r>
      <w:r>
        <w:rPr>
          <w:rFonts w:ascii="Times New Roman" w:hAnsi="Times New Roman" w:cs="Times New Roman"/>
        </w:rPr>
        <w:t>joining room for a 10-hour period and heard mother being physically assaulted and verbally abused by defendant.  (</w:t>
      </w:r>
      <w:r>
        <w:rPr>
          <w:rFonts w:ascii="Times New Roman" w:hAnsi="Times New Roman" w:cs="Times New Roman"/>
          <w:i/>
          <w:iCs/>
        </w:rPr>
        <w:t>DiMarco v Supermarkets Gen. Corp.,</w:t>
      </w:r>
      <w:r>
        <w:rPr>
          <w:rFonts w:ascii="Times New Roman" w:hAnsi="Times New Roman" w:cs="Times New Roman"/>
        </w:rPr>
        <w:t xml:space="preserve"> 137 AD2d 651; </w:t>
      </w:r>
      <w:r>
        <w:rPr>
          <w:rFonts w:ascii="Times New Roman" w:hAnsi="Times New Roman" w:cs="Times New Roman"/>
          <w:i/>
          <w:iCs/>
        </w:rPr>
        <w:t>Matter of Athena M.,</w:t>
      </w:r>
      <w:r>
        <w:rPr>
          <w:rFonts w:ascii="Times New Roman" w:hAnsi="Times New Roman" w:cs="Times New Roman"/>
        </w:rPr>
        <w:t xml:space="preserve"> 253 AD2d 669; </w:t>
      </w:r>
      <w:r>
        <w:rPr>
          <w:rFonts w:ascii="Times New Roman" w:hAnsi="Times New Roman" w:cs="Times New Roman"/>
          <w:i/>
          <w:iCs/>
        </w:rPr>
        <w:t>Matter of Deandre T.,</w:t>
      </w:r>
      <w:r>
        <w:rPr>
          <w:rFonts w:ascii="Times New Roman" w:hAnsi="Times New Roman" w:cs="Times New Roman"/>
        </w:rPr>
        <w:t xml:space="preserve"> 253 AD2d 497; </w:t>
      </w:r>
      <w:r>
        <w:rPr>
          <w:rFonts w:ascii="Times New Roman" w:hAnsi="Times New Roman" w:cs="Times New Roman"/>
          <w:i/>
          <w:iCs/>
        </w:rPr>
        <w:t>Matter of Lonell J.,</w:t>
      </w:r>
      <w:r>
        <w:rPr>
          <w:rFonts w:ascii="Times New Roman" w:hAnsi="Times New Roman" w:cs="Times New Roman"/>
        </w:rPr>
        <w:t xml:space="preserve"> 242 AD2d 58; </w:t>
      </w:r>
      <w:r>
        <w:rPr>
          <w:rFonts w:ascii="Times New Roman" w:hAnsi="Times New Roman" w:cs="Times New Roman"/>
          <w:i/>
          <w:iCs/>
        </w:rPr>
        <w:t>Matter of Tami G.,</w:t>
      </w:r>
      <w:r>
        <w:rPr>
          <w:rFonts w:ascii="Times New Roman" w:hAnsi="Times New Roman" w:cs="Times New Roman"/>
        </w:rPr>
        <w:t xml:space="preserve"> 209 AD2d 869; </w:t>
      </w:r>
      <w:r>
        <w:rPr>
          <w:rFonts w:ascii="Times New Roman" w:hAnsi="Times New Roman" w:cs="Times New Roman"/>
          <w:i/>
          <w:iCs/>
        </w:rPr>
        <w:t>Matter of Theresa CC.,</w:t>
      </w:r>
      <w:r>
        <w:rPr>
          <w:rFonts w:ascii="Times New Roman" w:hAnsi="Times New Roman" w:cs="Times New Roman"/>
        </w:rPr>
        <w:t xml:space="preserve"> 178 AD2d 687; </w:t>
      </w:r>
      <w:r>
        <w:rPr>
          <w:rFonts w:ascii="Times New Roman" w:hAnsi="Times New Roman" w:cs="Times New Roman"/>
          <w:i/>
          <w:iCs/>
        </w:rPr>
        <w:t>People v Johnson,</w:t>
      </w:r>
      <w:r>
        <w:rPr>
          <w:rFonts w:ascii="Times New Roman" w:hAnsi="Times New Roman" w:cs="Times New Roman"/>
        </w:rPr>
        <w:t xml:space="preserve"> 261 AD2d 557; </w:t>
      </w:r>
      <w:r>
        <w:rPr>
          <w:rFonts w:ascii="Times New Roman" w:hAnsi="Times New Roman" w:cs="Times New Roman"/>
          <w:i/>
          <w:iCs/>
        </w:rPr>
        <w:t>People v Carr,</w:t>
      </w:r>
      <w:r>
        <w:rPr>
          <w:rFonts w:ascii="Times New Roman" w:hAnsi="Times New Roman" w:cs="Times New Roman"/>
        </w:rPr>
        <w:t xml:space="preserve"> 208 AD2d 855;  </w:t>
      </w:r>
      <w:r>
        <w:rPr>
          <w:rFonts w:ascii="Times New Roman" w:hAnsi="Times New Roman" w:cs="Times New Roman"/>
          <w:i/>
          <w:iCs/>
        </w:rPr>
        <w:t>People v Suarez,</w:t>
      </w:r>
      <w:r>
        <w:rPr>
          <w:rFonts w:ascii="Times New Roman" w:hAnsi="Times New Roman" w:cs="Times New Roman"/>
        </w:rPr>
        <w:t xml:space="preserve"> 133 Misc 2d 762; </w:t>
      </w:r>
      <w:r>
        <w:rPr>
          <w:rFonts w:ascii="Times New Roman" w:hAnsi="Times New Roman" w:cs="Times New Roman"/>
          <w:i/>
          <w:iCs/>
        </w:rPr>
        <w:t>People v Malone,</w:t>
      </w:r>
      <w:r>
        <w:rPr>
          <w:rFonts w:ascii="Times New Roman" w:hAnsi="Times New Roman" w:cs="Times New Roman"/>
        </w:rPr>
        <w:t xml:space="preserve"> 180 Misc 2d 744.)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i/>
          <w:iCs/>
        </w:rPr>
        <w:t>Gary Muldoon,</w:t>
      </w:r>
      <w:r>
        <w:rPr>
          <w:rFonts w:ascii="Times New Roman" w:hAnsi="Times New Roman" w:cs="Times New Roman"/>
        </w:rPr>
        <w:t xml:space="preserve"> Rochester, for New York State Association of Criminal Defense Lawyers, </w:t>
      </w:r>
      <w:r>
        <w:rPr>
          <w:rFonts w:ascii="Times New Roman" w:hAnsi="Times New Roman" w:cs="Times New Roman"/>
          <w:i/>
          <w:iCs/>
        </w:rPr>
        <w:t>amicus curiae.</w:t>
      </w:r>
      <w:r>
        <w:rPr>
          <w:rFonts w:ascii="Times New Roman" w:hAnsi="Times New Roman" w:cs="Times New Roman"/>
        </w:rPr>
        <w:t xml:space="preserve"> Endangering the welfare of a child (Penal Law § 260.10 [1]) does not include acts of domestic violence where the children are merely witnesses.  (</w:t>
      </w:r>
      <w:r>
        <w:rPr>
          <w:rFonts w:ascii="Times New Roman" w:hAnsi="Times New Roman" w:cs="Times New Roman"/>
          <w:i/>
          <w:iCs/>
        </w:rPr>
        <w:t>People v Demetsenare,</w:t>
      </w:r>
      <w:r>
        <w:rPr>
          <w:rFonts w:ascii="Times New Roman" w:hAnsi="Times New Roman" w:cs="Times New Roman"/>
        </w:rPr>
        <w:t xml:space="preserve"> 243 AD2d 777; </w:t>
      </w:r>
      <w:r>
        <w:rPr>
          <w:rFonts w:ascii="Times New Roman" w:hAnsi="Times New Roman" w:cs="Times New Roman"/>
          <w:i/>
          <w:iCs/>
        </w:rPr>
        <w:t>People v Trabazo,</w:t>
      </w:r>
      <w:r>
        <w:rPr>
          <w:rFonts w:ascii="Times New Roman" w:hAnsi="Times New Roman" w:cs="Times New Roman"/>
        </w:rPr>
        <w:t xml:space="preserve"> 180 Misc 2d 961; </w:t>
      </w:r>
      <w:r>
        <w:rPr>
          <w:rFonts w:ascii="Times New Roman" w:hAnsi="Times New Roman" w:cs="Times New Roman"/>
          <w:i/>
          <w:iCs/>
        </w:rPr>
        <w:t>People v Knupp,</w:t>
      </w:r>
      <w:r>
        <w:rPr>
          <w:rFonts w:ascii="Times New Roman" w:hAnsi="Times New Roman" w:cs="Times New Roman"/>
        </w:rPr>
        <w:t xml:space="preserve"> 179 AD2d 1030.)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 xml:space="preserve">JUDGES: </w:t>
      </w:r>
      <w:r>
        <w:rPr>
          <w:rFonts w:ascii="Times New Roman" w:hAnsi="Times New Roman" w:cs="Times New Roman"/>
        </w:rPr>
        <w:t xml:space="preserve">Chief Judge Kaye and Judges Smith, Levine, Ciparick and Rosenblatt concur.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rPr>
      </w:pPr>
      <w:r>
        <w:rPr>
          <w:rFonts w:ascii="Times New Roman" w:hAnsi="Times New Roman" w:cs="Times New Roman"/>
          <w:b/>
          <w:bCs/>
        </w:rPr>
        <w:t xml:space="preserve">OPINION BY: </w:t>
      </w:r>
      <w:r>
        <w:rPr>
          <w:rFonts w:ascii="Times New Roman" w:hAnsi="Times New Roman" w:cs="Times New Roman"/>
        </w:rPr>
        <w:t xml:space="preserve">WESLEY </w:t>
      </w:r>
    </w:p>
    <w:p w:rsidR="00760631" w:rsidRDefault="00760631">
      <w:pPr>
        <w:widowControl/>
        <w:rPr>
          <w:rFonts w:ascii="Times New Roman" w:hAnsi="Times New Roman" w:cs="Times New Roman"/>
        </w:rPr>
      </w:pPr>
    </w:p>
    <w:p w:rsidR="00760631" w:rsidRDefault="004C6006">
      <w:pPr>
        <w:widowControl/>
        <w:rPr>
          <w:rFonts w:ascii="Times New Roman" w:hAnsi="Times New Roman" w:cs="Times New Roman"/>
          <w:b/>
          <w:bCs/>
        </w:rPr>
      </w:pPr>
      <w:r>
        <w:rPr>
          <w:rFonts w:ascii="Times New Roman" w:hAnsi="Times New Roman" w:cs="Times New Roman"/>
          <w:b/>
          <w:bCs/>
        </w:rPr>
        <w:t xml:space="preserve"> OPINION</w:t>
      </w:r>
    </w:p>
    <w:p w:rsidR="00760631" w:rsidRDefault="004C6006">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[*370]</w:t>
      </w:r>
      <w:r>
        <w:rPr>
          <w:rFonts w:ascii="Times New Roman" w:hAnsi="Times New Roman" w:cs="Times New Roman"/>
        </w:rPr>
        <w:t xml:space="preserve">   </w:t>
      </w:r>
      <w:r>
        <w:rPr>
          <w:rFonts w:ascii="Times New Roman" w:hAnsi="Times New Roman" w:cs="Times New Roman"/>
          <w:b/>
          <w:bCs/>
        </w:rPr>
        <w:t>[**1075]</w:t>
      </w:r>
      <w:r>
        <w:rPr>
          <w:rFonts w:ascii="Times New Roman" w:hAnsi="Times New Roman" w:cs="Times New Roman"/>
        </w:rPr>
        <w:t xml:space="preserve">   </w:t>
      </w:r>
      <w:r>
        <w:rPr>
          <w:rFonts w:ascii="Times New Roman" w:hAnsi="Times New Roman" w:cs="Times New Roman"/>
          <w:b/>
          <w:bCs/>
        </w:rPr>
        <w:t>[***1]</w:t>
      </w:r>
      <w:r>
        <w:rPr>
          <w:rFonts w:ascii="Times New Roman" w:hAnsi="Times New Roman" w:cs="Times New Roman"/>
        </w:rPr>
        <w:t xml:space="preserve">  Wesley, J. </w:t>
      </w:r>
    </w:p>
    <w:p w:rsidR="00760631" w:rsidRDefault="004C6006">
      <w:pPr>
        <w:widowControl/>
        <w:spacing w:before="120"/>
        <w:rPr>
          <w:rFonts w:ascii="Times New Roman" w:hAnsi="Times New Roman" w:cs="Times New Roman"/>
        </w:rPr>
      </w:pPr>
      <w:r>
        <w:rPr>
          <w:rFonts w:ascii="Times New Roman" w:hAnsi="Times New Roman" w:cs="Times New Roman"/>
        </w:rPr>
        <w:t xml:space="preserve">On March 7, 1997, defendant Theodore Johnson violently attacked his ex-girlfriend Vanessa Parker as she walked home from the supermarket with her three daughters.  Defendant approached Parker and struck her in the back of the head, knocking her against a fence.  The baby carriage Parker was wheeling, carrying their child, was also knocked over.  Parker's two older children, 7 and 12 years old, immediately began to cry.  Defendant yelled and cursed at Parker about previously putting him in jail (Parker already had an order of protection against defendant in connection with a prior harassment incident).  He grabbed her by the back of the neck, dragged her to her apartment entrance, ordered her to unlock the apartment and knocked her head against the door. </w:t>
      </w:r>
    </w:p>
    <w:p w:rsidR="00760631" w:rsidRDefault="004C6006">
      <w:pPr>
        <w:widowControl/>
        <w:spacing w:before="120"/>
        <w:rPr>
          <w:rFonts w:ascii="Times New Roman" w:hAnsi="Times New Roman" w:cs="Times New Roman"/>
        </w:rPr>
      </w:pPr>
      <w:r>
        <w:rPr>
          <w:rFonts w:ascii="Times New Roman" w:hAnsi="Times New Roman" w:cs="Times New Roman"/>
        </w:rPr>
        <w:t xml:space="preserve">Parker's 12-year-old daughter picked up the baby carriage and the children followed them inside.  Once inside, defendant pushed Parker up the steps into the apartment, again causing her to fall.  He continued his cursing, telling her that he would "leave [her] in the house for dead" and then she would "see  </w:t>
      </w:r>
      <w:r>
        <w:rPr>
          <w:rFonts w:ascii="Times New Roman" w:hAnsi="Times New Roman" w:cs="Times New Roman"/>
          <w:b/>
          <w:bCs/>
        </w:rPr>
        <w:t>[*371]</w:t>
      </w:r>
      <w:r>
        <w:rPr>
          <w:rFonts w:ascii="Times New Roman" w:hAnsi="Times New Roman" w:cs="Times New Roman"/>
        </w:rPr>
        <w:t xml:space="preserve">  how [her] children would like being mot</w:t>
      </w:r>
      <w:r>
        <w:rPr>
          <w:rFonts w:ascii="Times New Roman" w:hAnsi="Times New Roman" w:cs="Times New Roman"/>
        </w:rPr>
        <w:t>h</w:t>
      </w:r>
      <w:r>
        <w:rPr>
          <w:rFonts w:ascii="Times New Roman" w:hAnsi="Times New Roman" w:cs="Times New Roman"/>
        </w:rPr>
        <w:t xml:space="preserve">erless." After entering the apartment, the children went directly to their bedroom. Defendant followed Parker into the living room, and continued to beat her with his hands, feet and a metal pipe.  Defendant also threw cups, plates and glasses at the walls and at Parker.  He continued his verbal abuse, cursing and yelling at Parker for calling the police about past incidents of abuse.  Trapped in their room, the children could hear the glass breaking, Parker's screams  </w:t>
      </w:r>
      <w:r>
        <w:rPr>
          <w:rFonts w:ascii="Times New Roman" w:hAnsi="Times New Roman" w:cs="Times New Roman"/>
          <w:b/>
          <w:bCs/>
        </w:rPr>
        <w:t>[***2]</w:t>
      </w:r>
      <w:r>
        <w:rPr>
          <w:rFonts w:ascii="Times New Roman" w:hAnsi="Times New Roman" w:cs="Times New Roman"/>
        </w:rPr>
        <w:t xml:space="preserve">   </w:t>
      </w:r>
      <w:r>
        <w:rPr>
          <w:rFonts w:ascii="Times New Roman" w:hAnsi="Times New Roman" w:cs="Times New Roman"/>
          <w:b/>
          <w:bCs/>
        </w:rPr>
        <w:t>[**1076]</w:t>
      </w:r>
      <w:r>
        <w:rPr>
          <w:rFonts w:ascii="Times New Roman" w:hAnsi="Times New Roman" w:cs="Times New Roman"/>
        </w:rPr>
        <w:t xml:space="preserve">  and defendant's yelling. Defendant's reign of terror lasted for over 10 hours.  Parker was finally able to sneak out of the apartment and call the police.  Only after defendant's arrest did the children emerge from the bedroom, where they were exposed to broken glass and debris strewn around the living room. Later, when defendant was in jail awaiting trial, he threatened to beat Parker if she did not drop the charges against him. </w:t>
      </w:r>
    </w:p>
    <w:p w:rsidR="00760631" w:rsidRDefault="004C6006">
      <w:pPr>
        <w:widowControl/>
        <w:spacing w:before="120"/>
        <w:rPr>
          <w:rFonts w:ascii="Times New Roman" w:hAnsi="Times New Roman" w:cs="Times New Roman"/>
        </w:rPr>
      </w:pPr>
      <w:r>
        <w:rPr>
          <w:rFonts w:ascii="Times New Roman" w:hAnsi="Times New Roman" w:cs="Times New Roman"/>
        </w:rPr>
        <w:t xml:space="preserve">After a nonjury trial, defendant was convicted of two counts of endangering the welfare of a child, intimidating a victim or witness, menacing and a number of felonies related to the order of protection.  With regard to the felonies, Supreme Court sentenced defendant as a second felony offender. The Appellate Division modified the judgment by reversing defendant's convictions for endangering the welfare of a child, holding that the evidence was legally insufficient, while sustaining defendant's second felony offender adjudication.  A Judge of this Court granted both the People and defendant leave to appeal. </w:t>
      </w:r>
    </w:p>
    <w:p w:rsidR="00760631" w:rsidRDefault="004C6006">
      <w:pPr>
        <w:widowControl/>
        <w:spacing w:before="120"/>
        <w:rPr>
          <w:rFonts w:ascii="Times New Roman" w:hAnsi="Times New Roman" w:cs="Times New Roman"/>
        </w:rPr>
      </w:pPr>
      <w:r>
        <w:rPr>
          <w:rFonts w:ascii="Times New Roman" w:hAnsi="Times New Roman" w:cs="Times New Roman"/>
        </w:rPr>
        <w:t xml:space="preserve">On the People's appeal, we are asked to determine whether the evidence was legally sufficient to support defendant's conviction for endangering the welfare of a child when his actions were not specifically directed at the children.  The People contend that the statute is written broadly enough to cover conduct directed at others that is likely to cause harm to children.  Under the facts of this case, we agree. </w:t>
      </w:r>
    </w:p>
    <w:p w:rsidR="00760631" w:rsidRDefault="004C6006">
      <w:pPr>
        <w:widowControl/>
        <w:spacing w:before="120"/>
        <w:rPr>
          <w:rFonts w:ascii="Times New Roman" w:hAnsi="Times New Roman" w:cs="Times New Roman"/>
        </w:rPr>
      </w:pPr>
      <w:r>
        <w:rPr>
          <w:rFonts w:ascii="Times New Roman" w:hAnsi="Times New Roman" w:cs="Times New Roman"/>
        </w:rPr>
        <w:t xml:space="preserve"> [HN1] Penal Law § 260.10 (1) provides that a person endangers the welfare of a child when "[h]e knowingly acts in a manner likely to be injurious to the physical, mental or moral welfare of a child less than seventeen years old." Actual harm to the child need not result for criminal liability; it is "sufficient that the defendant act in a manner which is </w:t>
      </w:r>
      <w:r>
        <w:rPr>
          <w:rFonts w:ascii="Times New Roman" w:hAnsi="Times New Roman" w:cs="Times New Roman"/>
          <w:i/>
          <w:iCs/>
        </w:rPr>
        <w:t>likely</w:t>
      </w:r>
      <w:r>
        <w:rPr>
          <w:rFonts w:ascii="Times New Roman" w:hAnsi="Times New Roman" w:cs="Times New Roman"/>
        </w:rPr>
        <w:t xml:space="preserve"> to </w:t>
      </w:r>
      <w:r>
        <w:rPr>
          <w:rFonts w:ascii="Times New Roman" w:hAnsi="Times New Roman" w:cs="Times New Roman"/>
        </w:rPr>
        <w:lastRenderedPageBreak/>
        <w:t xml:space="preserve">result in harm to the child, </w:t>
      </w:r>
      <w:r>
        <w:rPr>
          <w:rFonts w:ascii="Times New Roman" w:hAnsi="Times New Roman" w:cs="Times New Roman"/>
          <w:i/>
          <w:iCs/>
        </w:rPr>
        <w:t>knowing</w:t>
      </w:r>
      <w:r>
        <w:rPr>
          <w:rFonts w:ascii="Times New Roman" w:hAnsi="Times New Roman" w:cs="Times New Roman"/>
        </w:rPr>
        <w:t xml:space="preserve"> of the likelihood of such harm coming to the child" (</w:t>
      </w:r>
      <w:r>
        <w:rPr>
          <w:rFonts w:ascii="Times New Roman" w:hAnsi="Times New Roman" w:cs="Times New Roman"/>
          <w:i/>
          <w:iCs/>
        </w:rPr>
        <w:t>People v Simmons,</w:t>
      </w:r>
      <w:r>
        <w:rPr>
          <w:rFonts w:ascii="Times New Roman" w:hAnsi="Times New Roman" w:cs="Times New Roman"/>
        </w:rPr>
        <w:t xml:space="preserve"> 92 NY2d 829, 830 [emphasis added]). </w:t>
      </w:r>
    </w:p>
    <w:p w:rsidR="00760631" w:rsidRDefault="004C6006">
      <w:pPr>
        <w:widowControl/>
        <w:spacing w:before="120"/>
        <w:rPr>
          <w:rFonts w:ascii="Times New Roman" w:hAnsi="Times New Roman" w:cs="Times New Roman"/>
        </w:rPr>
      </w:pPr>
      <w:r>
        <w:rPr>
          <w:rFonts w:ascii="Times New Roman" w:hAnsi="Times New Roman" w:cs="Times New Roman"/>
        </w:rPr>
        <w:t>Nothing in the statute restricts its application solely to harmful conduct directed at children (</w:t>
      </w:r>
      <w:r>
        <w:rPr>
          <w:rFonts w:ascii="Times New Roman" w:hAnsi="Times New Roman" w:cs="Times New Roman"/>
          <w:i/>
          <w:iCs/>
        </w:rPr>
        <w:t>see, People v Bergerson,</w:t>
      </w:r>
      <w:r>
        <w:rPr>
          <w:rFonts w:ascii="Times New Roman" w:hAnsi="Times New Roman" w:cs="Times New Roman"/>
        </w:rPr>
        <w:t xml:space="preserve"> 17 NY2d 398, 401  </w:t>
      </w:r>
      <w:r>
        <w:rPr>
          <w:rFonts w:ascii="Times New Roman" w:hAnsi="Times New Roman" w:cs="Times New Roman"/>
          <w:b/>
          <w:bCs/>
        </w:rPr>
        <w:t>[*372]</w:t>
      </w:r>
      <w:r>
        <w:rPr>
          <w:rFonts w:ascii="Times New Roman" w:hAnsi="Times New Roman" w:cs="Times New Roman"/>
        </w:rPr>
        <w:t xml:space="preserve">  [noting that the prior version of statute was intended to be broad in scope]).  The statute is broadly written and imposes a criminal sanction for the mere "likelihood" of harm.  Moreover, the language provides that defendant "knowingly" act in such a manner, further suggesting that the statute does not require that the conduct be sp</w:t>
      </w:r>
      <w:r>
        <w:rPr>
          <w:rFonts w:ascii="Times New Roman" w:hAnsi="Times New Roman" w:cs="Times New Roman"/>
        </w:rPr>
        <w:t>e</w:t>
      </w:r>
      <w:r>
        <w:rPr>
          <w:rFonts w:ascii="Times New Roman" w:hAnsi="Times New Roman" w:cs="Times New Roman"/>
        </w:rPr>
        <w:t xml:space="preserve">cifically directed at a child; rather, a defendant must simply be </w:t>
      </w:r>
      <w:r>
        <w:rPr>
          <w:rFonts w:ascii="Times New Roman" w:hAnsi="Times New Roman" w:cs="Times New Roman"/>
          <w:i/>
          <w:iCs/>
        </w:rPr>
        <w:t>aware</w:t>
      </w:r>
      <w:r>
        <w:rPr>
          <w:rFonts w:ascii="Times New Roman" w:hAnsi="Times New Roman" w:cs="Times New Roman"/>
        </w:rPr>
        <w:t xml:space="preserve"> that the conduct may likely result in harm to a child, whether directed at the child or not (</w:t>
      </w:r>
      <w:r>
        <w:rPr>
          <w:rFonts w:ascii="Times New Roman" w:hAnsi="Times New Roman" w:cs="Times New Roman"/>
          <w:i/>
          <w:iCs/>
        </w:rPr>
        <w:t>see,</w:t>
      </w:r>
      <w:r>
        <w:rPr>
          <w:rFonts w:ascii="Times New Roman" w:hAnsi="Times New Roman" w:cs="Times New Roman"/>
        </w:rPr>
        <w:t xml:space="preserve"> Penal Law § 15.05 [2]). </w:t>
      </w:r>
    </w:p>
    <w:p w:rsidR="00760631" w:rsidRDefault="004C6006">
      <w:pPr>
        <w:widowControl/>
        <w:spacing w:before="120"/>
        <w:rPr>
          <w:rFonts w:ascii="Times New Roman" w:hAnsi="Times New Roman" w:cs="Times New Roman"/>
        </w:rPr>
      </w:pPr>
      <w:r>
        <w:rPr>
          <w:rFonts w:ascii="Times New Roman" w:hAnsi="Times New Roman" w:cs="Times New Roman"/>
        </w:rPr>
        <w:t>Defendant would rewrite the statute.   [HN2] We have previously noted that when a statute imposes criminal liability for knowingly disregarding a risk, it does not require a particular outcome or actions aimed at a specific individual; the crime is solely defined by the risk of injury produced by defendant's conduct (</w:t>
      </w:r>
      <w:r>
        <w:rPr>
          <w:rFonts w:ascii="Times New Roman" w:hAnsi="Times New Roman" w:cs="Times New Roman"/>
          <w:i/>
          <w:iCs/>
        </w:rPr>
        <w:t>see, People v Davis,</w:t>
      </w:r>
      <w:r>
        <w:rPr>
          <w:rFonts w:ascii="Times New Roman" w:hAnsi="Times New Roman" w:cs="Times New Roman"/>
        </w:rPr>
        <w:t xml:space="preserve"> 72 NY2d 32, 36-37). The same can be said here.  Endangering the welfare of a child is not defined by specifically targeted acts or individuals, but by conduct which a defendant knows will present a "likelihood" of harm to a child (i.e., with an awareness of the potential for harm). </w:t>
      </w:r>
    </w:p>
    <w:p w:rsidR="00760631" w:rsidRDefault="004C6006">
      <w:pPr>
        <w:widowControl/>
        <w:spacing w:before="120"/>
        <w:rPr>
          <w:rFonts w:ascii="Times New Roman" w:hAnsi="Times New Roman" w:cs="Times New Roman"/>
        </w:rPr>
      </w:pPr>
      <w:r>
        <w:rPr>
          <w:rFonts w:ascii="Times New Roman" w:hAnsi="Times New Roman" w:cs="Times New Roman"/>
        </w:rPr>
        <w:t xml:space="preserve">We reject defendant's contention that applying the statute to conduct not specifically directed at children will result in a wild proliferation of prosecutions based on bad parenting or the exposure of children to inappropriate behavior.  Here, defendant's conduct could hardly be characterized as bad parenting--or indeed parenting at all.  Moreover, the statute has been in place for over 30 years.  The Legislature specifically recognized that behavior that was </w:t>
      </w:r>
      <w:r>
        <w:rPr>
          <w:rFonts w:ascii="Times New Roman" w:hAnsi="Times New Roman" w:cs="Times New Roman"/>
          <w:i/>
          <w:iCs/>
        </w:rPr>
        <w:t>likely</w:t>
      </w:r>
      <w:r>
        <w:rPr>
          <w:rFonts w:ascii="Times New Roman" w:hAnsi="Times New Roman" w:cs="Times New Roman"/>
        </w:rPr>
        <w:t xml:space="preserve"> to produce harm to a child's physical, mental or moral well-being fell within its sweep as long as the defendant was </w:t>
      </w:r>
      <w:r>
        <w:rPr>
          <w:rFonts w:ascii="Times New Roman" w:hAnsi="Times New Roman" w:cs="Times New Roman"/>
          <w:i/>
          <w:iCs/>
        </w:rPr>
        <w:t>aware</w:t>
      </w:r>
      <w:r>
        <w:rPr>
          <w:rFonts w:ascii="Times New Roman" w:hAnsi="Times New Roman" w:cs="Times New Roman"/>
        </w:rPr>
        <w:t xml:space="preserve"> of its potential for harm to  </w:t>
      </w:r>
      <w:r>
        <w:rPr>
          <w:rFonts w:ascii="Times New Roman" w:hAnsi="Times New Roman" w:cs="Times New Roman"/>
          <w:b/>
          <w:bCs/>
        </w:rPr>
        <w:t>[***3]</w:t>
      </w:r>
      <w:r>
        <w:rPr>
          <w:rFonts w:ascii="Times New Roman" w:hAnsi="Times New Roman" w:cs="Times New Roman"/>
        </w:rPr>
        <w:t xml:space="preserve">   </w:t>
      </w:r>
      <w:r>
        <w:rPr>
          <w:rFonts w:ascii="Times New Roman" w:hAnsi="Times New Roman" w:cs="Times New Roman"/>
          <w:b/>
          <w:bCs/>
        </w:rPr>
        <w:t>[**1077]</w:t>
      </w:r>
      <w:r>
        <w:rPr>
          <w:rFonts w:ascii="Times New Roman" w:hAnsi="Times New Roman" w:cs="Times New Roman"/>
        </w:rPr>
        <w:t xml:space="preserve">  a child.  The Legislature's response to conduct that could cause harm to children has not produced a clarion call for legislative reform of the statute; we will not supplant that function by judicial stitchery. </w:t>
      </w:r>
    </w:p>
    <w:p w:rsidR="00760631" w:rsidRDefault="004C6006">
      <w:pPr>
        <w:widowControl/>
        <w:spacing w:before="120"/>
        <w:rPr>
          <w:rFonts w:ascii="Times New Roman" w:hAnsi="Times New Roman" w:cs="Times New Roman"/>
        </w:rPr>
      </w:pPr>
      <w:r>
        <w:rPr>
          <w:rFonts w:ascii="Times New Roman" w:hAnsi="Times New Roman" w:cs="Times New Roman"/>
        </w:rPr>
        <w:t xml:space="preserve">The adverse effects of domestic violence on children have been well documented over the past two decades and have been recognized by all branches of our government in New York. </w:t>
      </w:r>
      <w:r>
        <w:rPr>
          <w:rFonts w:ascii="Times New Roman" w:hAnsi="Times New Roman" w:cs="Times New Roman"/>
          <w:sz w:val="16"/>
          <w:szCs w:val="16"/>
          <w:vertAlign w:val="superscript"/>
        </w:rPr>
        <w:t>*</w:t>
      </w:r>
      <w:r>
        <w:rPr>
          <w:rFonts w:ascii="Times New Roman" w:hAnsi="Times New Roman" w:cs="Times New Roman"/>
        </w:rPr>
        <w:t xml:space="preserve"> In 1996, the Governor approved an act to amend the D</w:t>
      </w:r>
      <w:r>
        <w:rPr>
          <w:rFonts w:ascii="Times New Roman" w:hAnsi="Times New Roman" w:cs="Times New Roman"/>
        </w:rPr>
        <w:t>o</w:t>
      </w:r>
      <w:r>
        <w:rPr>
          <w:rFonts w:ascii="Times New Roman" w:hAnsi="Times New Roman" w:cs="Times New Roman"/>
        </w:rPr>
        <w:t xml:space="preserve">mestic Relations Law and the Family Court Act to require  </w:t>
      </w:r>
      <w:r>
        <w:rPr>
          <w:rFonts w:ascii="Times New Roman" w:hAnsi="Times New Roman" w:cs="Times New Roman"/>
          <w:b/>
          <w:bCs/>
        </w:rPr>
        <w:t>[*373]</w:t>
      </w:r>
      <w:r>
        <w:rPr>
          <w:rFonts w:ascii="Times New Roman" w:hAnsi="Times New Roman" w:cs="Times New Roman"/>
        </w:rPr>
        <w:t xml:space="preserve">  courts to consider domestic violence when rendering child custody and visitation determinations.  He noted that "[t]he victims of domestic violence are not limited to those who are actually battered by spouses, for the evidence is overwhelming that those who batter their spouses inflict tr</w:t>
      </w:r>
      <w:r>
        <w:rPr>
          <w:rFonts w:ascii="Times New Roman" w:hAnsi="Times New Roman" w:cs="Times New Roman"/>
        </w:rPr>
        <w:t>e</w:t>
      </w:r>
      <w:r>
        <w:rPr>
          <w:rFonts w:ascii="Times New Roman" w:hAnsi="Times New Roman" w:cs="Times New Roman"/>
        </w:rPr>
        <w:t>mendous harm on their children.  ...  [D]omestic violence causes great psychological and developmental damage to children even when they are not themselves physically abused" (Governor's Approval Mem to L 1996, ch 85, 1996 McKinney's Session Laws of NY, at 1858, 1859).  Some trial courts in child endangerment prosecutions have also e</w:t>
      </w:r>
      <w:r>
        <w:rPr>
          <w:rFonts w:ascii="Times New Roman" w:hAnsi="Times New Roman" w:cs="Times New Roman"/>
        </w:rPr>
        <w:t>x</w:t>
      </w:r>
      <w:r>
        <w:rPr>
          <w:rFonts w:ascii="Times New Roman" w:hAnsi="Times New Roman" w:cs="Times New Roman"/>
        </w:rPr>
        <w:t>plicitly recognized the overwhelming evidence of harm to children exposed to domestic violence (</w:t>
      </w:r>
      <w:r>
        <w:rPr>
          <w:rFonts w:ascii="Times New Roman" w:hAnsi="Times New Roman" w:cs="Times New Roman"/>
          <w:i/>
          <w:iCs/>
        </w:rPr>
        <w:t>see, e.g., People v Malone,</w:t>
      </w:r>
      <w:r>
        <w:rPr>
          <w:rFonts w:ascii="Times New Roman" w:hAnsi="Times New Roman" w:cs="Times New Roman"/>
        </w:rPr>
        <w:t xml:space="preserve"> 180 Misc 2d 744). </w:t>
      </w:r>
    </w:p>
    <w:p w:rsidR="00760631" w:rsidRDefault="00760631">
      <w:pPr>
        <w:widowControl/>
        <w:rPr>
          <w:rFonts w:ascii="Times New Roman" w:hAnsi="Times New Roman" w:cs="Times New Roman"/>
        </w:rPr>
      </w:pPr>
    </w:p>
    <w:p w:rsidR="00760631" w:rsidRDefault="00760631">
      <w:pPr>
        <w:widowControl/>
        <w:rPr>
          <w:rFonts w:ascii="Times New Roman" w:hAnsi="Times New Roman" w:cs="Times New Roman"/>
        </w:rPr>
      </w:pPr>
    </w:p>
    <w:p w:rsidR="00760631" w:rsidRDefault="004C6006">
      <w:pPr>
        <w:widowControl/>
        <w:ind w:left="600"/>
        <w:rPr>
          <w:rFonts w:ascii="Times New Roman" w:hAnsi="Times New Roman" w:cs="Times New Roman"/>
          <w:sz w:val="16"/>
          <w:szCs w:val="16"/>
        </w:rPr>
      </w:pPr>
      <w:r>
        <w:rPr>
          <w:rFonts w:ascii="Times New Roman" w:hAnsi="Times New Roman" w:cs="Times New Roman"/>
          <w:sz w:val="16"/>
          <w:szCs w:val="16"/>
        </w:rPr>
        <w:t>*  Several social science and psychological studies have noted the profound adverse effect on children who witness domestic violence, i</w:t>
      </w:r>
      <w:r>
        <w:rPr>
          <w:rFonts w:ascii="Times New Roman" w:hAnsi="Times New Roman" w:cs="Times New Roman"/>
          <w:sz w:val="16"/>
          <w:szCs w:val="16"/>
        </w:rPr>
        <w:t>n</w:t>
      </w:r>
      <w:r>
        <w:rPr>
          <w:rFonts w:ascii="Times New Roman" w:hAnsi="Times New Roman" w:cs="Times New Roman"/>
          <w:sz w:val="16"/>
          <w:szCs w:val="16"/>
        </w:rPr>
        <w:t>cluding development of post-traumatic stress disorder and other severe emotional and behavioral problems (</w:t>
      </w:r>
      <w:r>
        <w:rPr>
          <w:rFonts w:ascii="Times New Roman" w:hAnsi="Times New Roman" w:cs="Times New Roman"/>
          <w:i/>
          <w:iCs/>
          <w:sz w:val="16"/>
          <w:szCs w:val="16"/>
        </w:rPr>
        <w:t>see, e.g.,</w:t>
      </w:r>
      <w:r>
        <w:rPr>
          <w:rFonts w:ascii="Times New Roman" w:hAnsi="Times New Roman" w:cs="Times New Roman"/>
          <w:sz w:val="16"/>
          <w:szCs w:val="16"/>
        </w:rPr>
        <w:t xml:space="preserve"> Stone and Fialk, </w:t>
      </w:r>
      <w:r>
        <w:rPr>
          <w:rFonts w:ascii="Times New Roman" w:hAnsi="Times New Roman" w:cs="Times New Roman"/>
          <w:i/>
          <w:iCs/>
          <w:sz w:val="16"/>
          <w:szCs w:val="16"/>
        </w:rPr>
        <w:t>Cri</w:t>
      </w:r>
      <w:r>
        <w:rPr>
          <w:rFonts w:ascii="Times New Roman" w:hAnsi="Times New Roman" w:cs="Times New Roman"/>
          <w:i/>
          <w:iCs/>
          <w:sz w:val="16"/>
          <w:szCs w:val="16"/>
        </w:rPr>
        <w:t>m</w:t>
      </w:r>
      <w:r>
        <w:rPr>
          <w:rFonts w:ascii="Times New Roman" w:hAnsi="Times New Roman" w:cs="Times New Roman"/>
          <w:i/>
          <w:iCs/>
          <w:sz w:val="16"/>
          <w:szCs w:val="16"/>
        </w:rPr>
        <w:t>inalizing the Exposure of Children to Family Violence: Breaking the Cycle of Abuse,</w:t>
      </w:r>
      <w:r>
        <w:rPr>
          <w:rFonts w:ascii="Times New Roman" w:hAnsi="Times New Roman" w:cs="Times New Roman"/>
          <w:sz w:val="16"/>
          <w:szCs w:val="16"/>
        </w:rPr>
        <w:t xml:space="preserve"> 20 Harv Women's LJ 205; Tomkins </w:t>
      </w:r>
      <w:r>
        <w:rPr>
          <w:rFonts w:ascii="Times New Roman" w:hAnsi="Times New Roman" w:cs="Times New Roman"/>
          <w:i/>
          <w:iCs/>
          <w:sz w:val="16"/>
          <w:szCs w:val="16"/>
        </w:rPr>
        <w:t>et al., The Plight of Children Who Witness Woman Battering: Psychological Knowledge and Policy Implications,</w:t>
      </w:r>
      <w:r>
        <w:rPr>
          <w:rFonts w:ascii="Times New Roman" w:hAnsi="Times New Roman" w:cs="Times New Roman"/>
          <w:sz w:val="16"/>
          <w:szCs w:val="16"/>
        </w:rPr>
        <w:t xml:space="preserve"> 18 Law &amp; Psychol Rev 137, 143-154). Female children who witness parental abuse are also more likely to be abused themselves as adults, and male children are more likely to replicate the witnessed behavior by becoming abusers (Tomkins, </w:t>
      </w:r>
      <w:r>
        <w:rPr>
          <w:rFonts w:ascii="Times New Roman" w:hAnsi="Times New Roman" w:cs="Times New Roman"/>
          <w:i/>
          <w:iCs/>
          <w:sz w:val="16"/>
          <w:szCs w:val="16"/>
        </w:rPr>
        <w:t>op. cit.,</w:t>
      </w:r>
      <w:r>
        <w:rPr>
          <w:rFonts w:ascii="Times New Roman" w:hAnsi="Times New Roman" w:cs="Times New Roman"/>
          <w:sz w:val="16"/>
          <w:szCs w:val="16"/>
        </w:rPr>
        <w:t xml:space="preserve"> at 150-151).</w:t>
      </w:r>
    </w:p>
    <w:p w:rsidR="00760631" w:rsidRDefault="00760631">
      <w:pPr>
        <w:widowControl/>
        <w:rPr>
          <w:rFonts w:ascii="Times New Roman" w:hAnsi="Times New Roman" w:cs="Times New Roman"/>
        </w:rPr>
      </w:pPr>
    </w:p>
    <w:p w:rsidR="00760631" w:rsidRDefault="004C6006">
      <w:pPr>
        <w:widowControl/>
        <w:spacing w:before="120"/>
        <w:rPr>
          <w:rFonts w:ascii="Times New Roman" w:hAnsi="Times New Roman" w:cs="Times New Roman"/>
        </w:rPr>
      </w:pPr>
      <w:r>
        <w:rPr>
          <w:rFonts w:ascii="Times New Roman" w:hAnsi="Times New Roman" w:cs="Times New Roman"/>
        </w:rPr>
        <w:t xml:space="preserve">  Viewing all the evidence and the inferences which may be drawn in the light most favorable to the People, as we are obliged to do, we conclude that a rational trier of fact could have reasonably determined that defendant's assaultive conduct in this case created a likelihood of harm to the children of which he was aware.  Here, the children saw defendant approach their mother and strike her down in the street, whereupon they immediately started crying. In their immediate presence, the defendant then threatened to kill their mother.  For over 10 hours they hid in their bedroom, listening to defendant's yelling and cursing, their mother's screams and the sounds of breaking glass. </w:t>
      </w:r>
    </w:p>
    <w:p w:rsidR="00760631" w:rsidRDefault="004C6006">
      <w:pPr>
        <w:widowControl/>
        <w:spacing w:before="120"/>
        <w:rPr>
          <w:rFonts w:ascii="Times New Roman" w:hAnsi="Times New Roman" w:cs="Times New Roman"/>
        </w:rPr>
      </w:pPr>
      <w:r>
        <w:rPr>
          <w:rFonts w:ascii="Times New Roman" w:hAnsi="Times New Roman" w:cs="Times New Roman"/>
        </w:rPr>
        <w:t>To the extent that some courts have determined that section 260.10 (1) requires that a defendant's conduct must be directly focused upon the child, or that evidence of a child witnessing a severe act of violence is insufficient as a matter of law to support a conviction under this statute, those decisions are not to be followed (</w:t>
      </w:r>
      <w:r>
        <w:rPr>
          <w:rFonts w:ascii="Times New Roman" w:hAnsi="Times New Roman" w:cs="Times New Roman"/>
          <w:i/>
          <w:iCs/>
        </w:rPr>
        <w:t>see, People v Carr,</w:t>
      </w:r>
      <w:r>
        <w:rPr>
          <w:rFonts w:ascii="Times New Roman" w:hAnsi="Times New Roman" w:cs="Times New Roman"/>
        </w:rPr>
        <w:t xml:space="preserve"> 208 AD2d 855, </w:t>
      </w:r>
      <w:r>
        <w:rPr>
          <w:rFonts w:ascii="Times New Roman" w:hAnsi="Times New Roman" w:cs="Times New Roman"/>
          <w:i/>
          <w:iCs/>
        </w:rPr>
        <w:t>appeal after new trial</w:t>
      </w:r>
      <w:r>
        <w:rPr>
          <w:rFonts w:ascii="Times New Roman" w:hAnsi="Times New Roman" w:cs="Times New Roman"/>
        </w:rPr>
        <w:t xml:space="preserve"> 229 AD2d 446, </w:t>
      </w:r>
      <w:r>
        <w:rPr>
          <w:rFonts w:ascii="Times New Roman" w:hAnsi="Times New Roman" w:cs="Times New Roman"/>
          <w:i/>
          <w:iCs/>
        </w:rPr>
        <w:t>lv denied</w:t>
      </w:r>
      <w:r>
        <w:rPr>
          <w:rFonts w:ascii="Times New Roman" w:hAnsi="Times New Roman" w:cs="Times New Roman"/>
        </w:rPr>
        <w:t xml:space="preserve"> 88 NY2d 1067; </w:t>
      </w:r>
      <w:r>
        <w:rPr>
          <w:rFonts w:ascii="Times New Roman" w:hAnsi="Times New Roman" w:cs="Times New Roman"/>
          <w:i/>
          <w:iCs/>
        </w:rPr>
        <w:t>People v Suarez,</w:t>
      </w:r>
      <w:r>
        <w:rPr>
          <w:rFonts w:ascii="Times New Roman" w:hAnsi="Times New Roman" w:cs="Times New Roman"/>
        </w:rPr>
        <w:t xml:space="preserve"> 133 Misc 2d 762). We reiterate, however, that each case is fact specific (</w:t>
      </w:r>
      <w:r>
        <w:rPr>
          <w:rFonts w:ascii="Times New Roman" w:hAnsi="Times New Roman" w:cs="Times New Roman"/>
          <w:i/>
          <w:iCs/>
        </w:rPr>
        <w:t>see, People v West,</w:t>
      </w:r>
      <w:r>
        <w:rPr>
          <w:rFonts w:ascii="Times New Roman" w:hAnsi="Times New Roman" w:cs="Times New Roman"/>
        </w:rPr>
        <w:t xml:space="preserve"> 271 AD2d 806; </w:t>
      </w:r>
      <w:r>
        <w:rPr>
          <w:rFonts w:ascii="Times New Roman" w:hAnsi="Times New Roman" w:cs="Times New Roman"/>
          <w:i/>
          <w:iCs/>
        </w:rPr>
        <w:t>People v Brooks,</w:t>
      </w:r>
      <w:r>
        <w:rPr>
          <w:rFonts w:ascii="Times New Roman" w:hAnsi="Times New Roman" w:cs="Times New Roman"/>
        </w:rPr>
        <w:t xml:space="preserve"> 270 AD2d 206, </w:t>
      </w:r>
      <w:r>
        <w:rPr>
          <w:rFonts w:ascii="Times New Roman" w:hAnsi="Times New Roman" w:cs="Times New Roman"/>
          <w:i/>
          <w:iCs/>
        </w:rPr>
        <w:t>lv denied</w:t>
      </w:r>
      <w:r>
        <w:rPr>
          <w:rFonts w:ascii="Times New Roman" w:hAnsi="Times New Roman" w:cs="Times New Roman"/>
        </w:rPr>
        <w:t xml:space="preserve"> 95 NY2d 794; </w:t>
      </w:r>
      <w:r>
        <w:rPr>
          <w:rFonts w:ascii="Times New Roman" w:hAnsi="Times New Roman" w:cs="Times New Roman"/>
          <w:i/>
          <w:iCs/>
        </w:rPr>
        <w:t>People v Parr,</w:t>
      </w:r>
      <w:r>
        <w:rPr>
          <w:rFonts w:ascii="Times New Roman" w:hAnsi="Times New Roman" w:cs="Times New Roman"/>
        </w:rPr>
        <w:t xml:space="preserve"> 155 AD2d 945, </w:t>
      </w:r>
      <w:r>
        <w:rPr>
          <w:rFonts w:ascii="Times New Roman" w:hAnsi="Times New Roman" w:cs="Times New Roman"/>
          <w:i/>
          <w:iCs/>
        </w:rPr>
        <w:t>lv denied</w:t>
      </w:r>
      <w:r>
        <w:rPr>
          <w:rFonts w:ascii="Times New Roman" w:hAnsi="Times New Roman" w:cs="Times New Roman"/>
        </w:rPr>
        <w:t xml:space="preserve"> 75 NY2d 870 [all holding that a defendant who performs a significant act of domestic violence against a mother in the presence of a child is guilty of endangering the welfare of that child]). </w:t>
      </w:r>
    </w:p>
    <w:p w:rsidR="00760631" w:rsidRDefault="004C6006">
      <w:pPr>
        <w:widowControl/>
        <w:spacing w:before="120"/>
        <w:rPr>
          <w:rFonts w:ascii="Times New Roman" w:hAnsi="Times New Roman" w:cs="Times New Roman"/>
        </w:rPr>
      </w:pPr>
      <w:r>
        <w:rPr>
          <w:rFonts w:ascii="Times New Roman" w:hAnsi="Times New Roman" w:cs="Times New Roman"/>
        </w:rPr>
        <w:lastRenderedPageBreak/>
        <w:t xml:space="preserve"> </w:t>
      </w:r>
      <w:r>
        <w:rPr>
          <w:rFonts w:ascii="Times New Roman" w:hAnsi="Times New Roman" w:cs="Times New Roman"/>
          <w:b/>
          <w:bCs/>
        </w:rPr>
        <w:t>[*374]</w:t>
      </w:r>
      <w:r>
        <w:rPr>
          <w:rFonts w:ascii="Times New Roman" w:hAnsi="Times New Roman" w:cs="Times New Roman"/>
        </w:rPr>
        <w:t xml:space="preserve">  With respect to defendant's appeal, the issues presented either lack merit or are unpreserved. </w:t>
      </w:r>
    </w:p>
    <w:p w:rsidR="00760631" w:rsidRDefault="004C6006">
      <w:pPr>
        <w:widowControl/>
        <w:spacing w:before="120"/>
        <w:rPr>
          <w:rFonts w:ascii="Times New Roman" w:hAnsi="Times New Roman" w:cs="Times New Roman"/>
        </w:rPr>
      </w:pPr>
      <w:r>
        <w:rPr>
          <w:rFonts w:ascii="Times New Roman" w:hAnsi="Times New Roman" w:cs="Times New Roman"/>
        </w:rPr>
        <w:t xml:space="preserve">Accordingly, the order of the Appellate Division should be modified in accordance with the opinion herein, and the case remitted to the Appellate Division for consideration of the facts and, as so modified, affirmed. </w:t>
      </w:r>
    </w:p>
    <w:p w:rsidR="00760631" w:rsidRDefault="004C6006">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[**1078]</w:t>
      </w:r>
      <w:r>
        <w:rPr>
          <w:rFonts w:ascii="Times New Roman" w:hAnsi="Times New Roman" w:cs="Times New Roman"/>
        </w:rPr>
        <w:t xml:space="preserve">  Chief Judge Kaye and Judges Smith, Levine, Ciparick and Rosenblatt concur. </w:t>
      </w:r>
    </w:p>
    <w:p w:rsidR="00760631" w:rsidRDefault="004C6006">
      <w:pPr>
        <w:widowControl/>
        <w:spacing w:before="120"/>
        <w:rPr>
          <w:rFonts w:ascii="Times New Roman" w:hAnsi="Times New Roman" w:cs="Times New Roman"/>
        </w:rPr>
      </w:pPr>
      <w:r>
        <w:rPr>
          <w:rFonts w:ascii="Times New Roman" w:hAnsi="Times New Roman" w:cs="Times New Roman"/>
        </w:rPr>
        <w:t xml:space="preserve">Order modified in accordance with the opinion herein and case remitted to the Appellate Division, Second Department, for consideration of the facts (CPL 470.25 [2] [d]; 470.40 [2] [b]) and, as so modified, affirmed.  </w:t>
      </w:r>
    </w:p>
    <w:p w:rsidR="00760631" w:rsidRDefault="00760631">
      <w:pPr>
        <w:widowControl/>
        <w:spacing w:before="120"/>
        <w:rPr>
          <w:rFonts w:ascii="Times New Roman" w:hAnsi="Times New Roman" w:cs="Times New Roman"/>
        </w:rPr>
        <w:sectPr w:rsidR="00760631">
          <w:headerReference w:type="default" r:id="rId8"/>
          <w:type w:val="continuous"/>
          <w:pgSz w:w="12240" w:h="15840"/>
          <w:pgMar w:top="1728" w:right="1296" w:bottom="1296" w:left="1296" w:header="720" w:footer="720" w:gutter="0"/>
          <w:cols w:space="720"/>
          <w:noEndnote/>
        </w:sectPr>
      </w:pPr>
    </w:p>
    <w:p w:rsidR="004C6006" w:rsidRDefault="004C6006">
      <w:pPr>
        <w:widowControl/>
        <w:rPr>
          <w:rFonts w:ascii="Times New Roman" w:hAnsi="Times New Roman" w:cs="Times New Roman"/>
        </w:rPr>
      </w:pPr>
    </w:p>
    <w:sectPr w:rsidR="004C6006">
      <w:headerReference w:type="default" r:id="rId9"/>
      <w:type w:val="continuous"/>
      <w:pgSz w:w="12240" w:h="15840"/>
      <w:pgMar w:top="1728" w:right="1296" w:bottom="1296" w:left="129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82D" w:rsidRDefault="00BD582D">
      <w:r>
        <w:separator/>
      </w:r>
    </w:p>
  </w:endnote>
  <w:endnote w:type="continuationSeparator" w:id="0">
    <w:p w:rsidR="00BD582D" w:rsidRDefault="00BD5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82D" w:rsidRDefault="00BD582D">
      <w:r>
        <w:separator/>
      </w:r>
    </w:p>
  </w:footnote>
  <w:footnote w:type="continuationSeparator" w:id="0">
    <w:p w:rsidR="00BD582D" w:rsidRDefault="00BD5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31" w:rsidRDefault="004C6006">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31" w:rsidRDefault="004C6006">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760631" w:rsidRDefault="004C6006">
    <w:pPr>
      <w:widowControl/>
      <w:suppressAutoHyphens/>
      <w:jc w:val="center"/>
      <w:rPr>
        <w:rFonts w:ascii="Times New Roman" w:hAnsi="Times New Roman" w:cs="Times New Roman"/>
      </w:rPr>
    </w:pPr>
    <w:r>
      <w:rPr>
        <w:rFonts w:ascii="Times New Roman" w:hAnsi="Times New Roman" w:cs="Times New Roman"/>
      </w:rPr>
      <w:t>95 N.Y.2d 368, *; 740 N.E.2d 1075, **;</w:t>
    </w:r>
  </w:p>
  <w:p w:rsidR="00760631" w:rsidRDefault="004C6006">
    <w:pPr>
      <w:widowControl/>
      <w:suppressAutoHyphens/>
      <w:jc w:val="center"/>
      <w:rPr>
        <w:rFonts w:ascii="Times New Roman" w:hAnsi="Times New Roman" w:cs="Times New Roman"/>
      </w:rPr>
    </w:pPr>
    <w:r>
      <w:rPr>
        <w:rFonts w:ascii="Times New Roman" w:hAnsi="Times New Roman" w:cs="Times New Roman"/>
      </w:rPr>
      <w:t>718 N.Y.S.2d 1, ***; 2000 N.Y. LEXIS 2930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31" w:rsidRDefault="00760631">
    <w:pPr>
      <w:widowControl/>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50B"/>
    <w:rsid w:val="004C6006"/>
    <w:rsid w:val="00760631"/>
    <w:rsid w:val="00BD582D"/>
    <w:rsid w:val="00C617D0"/>
    <w:rsid w:val="00CF5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2900</Words>
  <Characters>16532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Katherine Simone</cp:lastModifiedBy>
  <cp:revision>2</cp:revision>
  <cp:lastPrinted>2014-05-09T19:51:00Z</cp:lastPrinted>
  <dcterms:created xsi:type="dcterms:W3CDTF">2015-01-15T15:11:00Z</dcterms:created>
  <dcterms:modified xsi:type="dcterms:W3CDTF">2015-01-15T15:11:00Z</dcterms:modified>
</cp:coreProperties>
</file>